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361d6k.htm"/>
      <w:bookmarkStart w:id="1" w:name="ksd12336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6"/>
        <w:gridCol w:w="701"/>
        <w:gridCol w:w="8658"/>
      </w:tblGrid>
      <w:tr>
        <w:trPr/>
        <w:tc>
          <w:tcPr>
            <w:tcW w:w="846"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r>
      <w:tr>
        <w:trPr/>
        <w:tc>
          <w:tcPr>
            <w:tcW w:w="84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01" w:type="dxa"/>
            <w:tcBorders/>
            <w:vAlign w:val="bottom"/>
          </w:tcPr>
          <w:p>
            <w:pPr>
              <w:pStyle w:val="TableContents"/>
              <w:bidi w:val="0"/>
              <w:spacing w:before="0" w:after="283"/>
              <w:jc w:val="left"/>
              <w:rPr/>
            </w:pPr>
            <w:r>
              <w:rPr/>
              <w:t>  </w:t>
            </w:r>
          </w:p>
        </w:tc>
        <w:tc>
          <w:tcPr>
            <w:tcW w:w="86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846" w:type="dxa"/>
            <w:tcBorders/>
          </w:tcPr>
          <w:p>
            <w:pPr>
              <w:pStyle w:val="TableContents"/>
              <w:bidi w:val="0"/>
              <w:spacing w:before="0" w:after="283"/>
              <w:jc w:val="left"/>
              <w:rPr/>
            </w:pPr>
            <w:r>
              <w:rPr/>
              <w:t>99.1</w:t>
            </w:r>
          </w:p>
        </w:tc>
        <w:tc>
          <w:tcPr>
            <w:tcW w:w="701" w:type="dxa"/>
            <w:tcBorders/>
            <w:vAlign w:val="bottom"/>
          </w:tcPr>
          <w:p>
            <w:pPr>
              <w:pStyle w:val="TableContents"/>
              <w:bidi w:val="0"/>
              <w:spacing w:before="0" w:after="283"/>
              <w:jc w:val="left"/>
              <w:rPr/>
            </w:pPr>
            <w:r>
              <w:rPr/>
              <w:t>  </w:t>
            </w:r>
          </w:p>
        </w:tc>
        <w:tc>
          <w:tcPr>
            <w:tcW w:w="8658" w:type="dxa"/>
            <w:tcBorders/>
          </w:tcPr>
          <w:p>
            <w:pPr>
              <w:pStyle w:val="TableContents"/>
              <w:bidi w:val="0"/>
              <w:spacing w:before="0" w:after="283"/>
              <w:jc w:val="left"/>
              <w:rPr/>
            </w:pPr>
            <w:r>
              <w:rPr/>
              <w:t>Next Day Disclosure Return, dated September 9,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vAlign w:val="bottom"/>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10, 2026 </w:t>
      </w:r>
    </w:p>
    <w:p>
      <w:pPr>
        <w:pStyle w:val="TextBody"/>
        <w:bidi w:val="0"/>
        <w:spacing w:before="0" w:after="0"/>
        <w:jc w:val="left"/>
        <w:rPr/>
      </w:pPr>
      <w:bookmarkStart w:id="2" w:name="d123361dex991.htm"/>
      <w:bookmarkStart w:id="3" w:name="ksd123361dex991"/>
      <w:bookmarkEnd w:id="2"/>
      <w:bookmarkEnd w:id="3"/>
      <w:r>
        <w:rPr/>
        <w:drawing>
          <wp:inline distT="0" distB="0" distL="0" distR="0">
            <wp:extent cx="10256520" cy="72828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82815"/>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Exhibit 99.1 FF305 Next Day Disclosure Return (Equity issuer—changes in issued shares or treasury shares, share buybacks and/or on-market sales of treasury shares) Instrument: Equity issuer Status: New Submission Name of Issuer: Baidu, Inc. Date Submitted: 09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Changes in issued shares Changes in treasury (excluding treasury shares) shares Events As a % of existing Issue/ selling price per Total number of issued number of issued share (Note 4) shares Number of issued shares (excluding Number of treasury shares (excluding treasury shares) before shares treasury shares) the relevant event (Note 3) Opening balance as at (Note 1) 08 September 2026 2,209,541,178 0 2,209,541,178 1). Other (please specify) % See Part B Date of changes 09 September 2026 Closing balance as at (Notes 5 and 6) 09 September 2026 2,209,541,178 0 2,209,541,178 Page 1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B. Shares redeemed or repurchased for cancellation but not yet cancelled as at the closing balance date (Notes 5 and 6) 1). Shares repurchased for cancellation but not yet cancelled 545,000 0.025 % HKD 91.6772 Date of changes 07 September 2026 2). Shares repurchased for cancellation but not yet cancelled 554,150 0.025 % HKD 90.2251 Date of changes 08 September 2026 3). Shares repurchased for cancellation but not yet cancelled 541,200 0.024 % HKD 92.383 Date of changes 09 September 2026 The information contained herein under “Opening balance as at” is based on the closing balance of Class A ordinary shares as of September 8, 2026 as disclosed in Remarks: the Next Day Disclosure Return submitted on September 8, 2026. Page 2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Page 3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Page 4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Repurchase price per share or Number of shares Method of repurchase Lowest repurchase Trading date highest repurchase price per Aggregate price paid $ repurchased (Note 1) price per share $ share $ 1). 09 September 2026 541,200 On the Exchange HKD 93 HKD 90.95 HKD 49,997,679.6 Total number of shares 541,200 Aggregate price paid $ HKD 49,997,679.6 repurchased Number of shares repurchased for 541,200 cancellation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1,640,350 4). As a % of number of issued shares (excluding treasury shares) as at the date of the resolution granting the repurchase mandate 0.06 % (a) x 100 / number of issued shares (excluding treasury shares) as at the date of the resolution granting the repurchase mandate 5). Moratorium period for any issue of new shares, or sale or transfer of treasury shares after the share repurchase(s) set out in Part A Up to 09 October 2026 (Note 2) Page 5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Page 6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Page 7 of 7 v 1.3.0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1914</Words>
  <Characters>9463</Characters>
  <CharactersWithSpaces>11410</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