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PURSUANT TO RULE 13a-16 OR 15d-16 UNDER</w:t>
      </w: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September 2025</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000-51469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43"/>
          <w:szCs w:val="43"/>
          <w:b w:val="1"/>
          <w:bCs w:val="1"/>
          <w:color w:val="auto"/>
        </w:rPr>
        <w:t>BAIDU,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Baidu Campus</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No. 10 Shangdi 10th Street</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Haidian District, Beijing 100085</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The People’s Republic of China</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1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80" w:type="dxa"/>
            <w:vAlign w:val="bottom"/>
          </w:tcPr>
          <w:p>
            <w:pPr>
              <w:ind w:left="26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2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280" w:type="dxa"/>
            <w:vAlign w:val="bottom"/>
          </w:tcPr>
          <w:p>
            <w:pPr>
              <w:spacing w:after="0"/>
              <w:rPr>
                <w:sz w:val="24"/>
                <w:szCs w:val="24"/>
                <w:color w:val="auto"/>
              </w:rPr>
            </w:pPr>
          </w:p>
        </w:tc>
      </w:tr>
      <w:tr>
        <w:trPr>
          <w:trHeight w:val="22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Press Release— Baidu Announces Completion of CNY4.4 Billion Offering of CNY-denominated Senior Notes</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872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Announcement—Notice of Listing on the Stock Exchange of Hong Kong Limited</w:t>
            </w:r>
          </w:p>
        </w:tc>
      </w:tr>
    </w:tbl>
    <w:p>
      <w:pPr>
        <w:ind w:left="720"/>
        <w:spacing w:after="0"/>
        <w:rPr>
          <w:sz w:val="20"/>
          <w:szCs w:val="20"/>
          <w:color w:val="auto"/>
        </w:rPr>
        <w:sectPr>
          <w:pgSz w:w="11900" w:h="16838" w:orient="portrait"/>
          <w:cols w:equalWidth="0" w:num="1">
            <w:col w:w="10019"/>
          </w:cols>
          <w:pgMar w:left="4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BAIDU,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Haijian He</w:t>
            </w:r>
          </w:p>
        </w:tc>
      </w:tr>
      <w:tr>
        <w:trPr>
          <w:trHeight w:val="205"/>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56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0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color w:val="auto"/>
              </w:rPr>
              <w:t>: </w:t>
            </w:r>
          </w:p>
        </w:tc>
        <w:tc>
          <w:tcPr>
            <w:tcW w:w="34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Haijian He</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15, 2025</w:t>
      </w:r>
    </w:p>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Baidu Announces Completion of CNY4.4 Billion Offering of CNY-denominated Senior Notes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BEIJING, September 15, 2025 /PRNewswire/ — Baidu, Inc. (NASDAQ: BIDU and HKEX: 9888 (HKD Counter) and 89888 (RMB Counter)), (“Baidu” or the “Company”), a leading AI company with strong Internet foundation, today announced the completion of its offering of CNY4.4 billion aggregate principal amount of 1.90% senior unsecured notes due 2029 (the “Notes”). The Notes were sold in offshore transactions outside the United States to certain non-U.S. persons (the “Notes Offering”) in reliance on Regulation S under the United States Securities Act of 1933, as amended (the “Securities Act”).</w:t>
      </w:r>
    </w:p>
    <w:p>
      <w:pPr>
        <w:spacing w:after="0" w:line="183"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Company intends to use the net proceeds from the Notes Offering for general corporate purposes, including repayment of certain existing indebtedness, payment of interest and general corporate purposes.</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Securities Act or any state securities laws. They may not be offered or sold in the United States or to, or for the account or benefits of, U.S. persons (as defined in Regulation S under the Securities Act) except pursuant to an exemption from, or in a transaction not subject to, the registration requirements of the Securities Act.</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listing of and permission to deal in the Notes on The Stock Exchange of Hong Kong Limited (the “Hong Kong Stock Exchange”) is expected to become effective on September 16, 2025.</w:t>
      </w:r>
    </w:p>
    <w:p>
      <w:pPr>
        <w:spacing w:after="0" w:line="162"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This announcement shall not constitute an offer to sell or a solicitation of an offer to purchase any securities, in the United States or elsewhere, and shall not constitute an offer, solicitation or sale of the securities in any state or jurisdiction in which such an offer, solicitation or sale would be unlawful.</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Baidu</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Founded in 2000, Baidu’s mission is to make the complicated world simpler through technology. Baidu is a leading AI company with strong Internet foundation, trading on Nasdaq under “BIDU” and HKEX under “9888”. One Baidu ADS represents eight Class A ordinary shares.</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Safe Harbor Statement</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Baidu may also make written or oral forward-looking statements in its periodic reports to the U.S. Securities and Exchange Commission (the “SEC”), in announcements made on the website of the Hong Kong Stock Exchange, in its annual report to shareholders, in press releases and other written materials and in oral statements made by its officers, directors or employees to third parties. Statements that are not historical facts, including but not limited to statements about Baidu’s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Baidu’s growth strategies; its future business development, including development of new products and services; its ability to attract and retain users and customers; competition in the Chinese Internet search and newsfeed market; competition for online marketing customers; changes in the Company’s revenues and certain cost or expense items as a percentage of its revenues; the outcome of ongoing, or any future, litigation or arbitration, including those relating to intellectual property rights; the expected growth of the Chinese-language Internet search and newsfeed market and the number of Internet and broadband users in China; Chinese governmental policies relating to the Internet and Internet search providers, and general economic conditions in China and elsewhere. Further information regarding these and other risks is included in the Company’s annual report on Form 20-F and other documents filed with the SEC, and announcements on the website of the Hong Kong Stock Exchange. Baidu does not undertake any obligation to update any forward-looking statement, except as required under applicable law. All information provided in this announcement is as of the date of the announcement, and Baidu undertakes no duty to update such information, except as required under applicable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Baidu,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Relations, Baidu,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+86-10-5992-8888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ir@baidu.com</w:t>
      </w:r>
    </w:p>
    <w:p>
      <w:pPr>
        <w:sectPr>
          <w:pgSz w:w="11900" w:h="16838" w:orient="portrait"/>
          <w:cols w:equalWidth="0" w:num="1">
            <w:col w:w="10920"/>
          </w:cols>
          <w:pgMar w:left="440" w:top="266" w:right="5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7" w:lineRule="exact"/>
        <w:rPr>
          <w:sz w:val="20"/>
          <w:szCs w:val="20"/>
          <w:color w:val="auto"/>
        </w:rPr>
      </w:pPr>
    </w:p>
    <w:p>
      <w:pPr>
        <w:ind w:right="540"/>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Under our weighted voting rights structure, our share capital comprises Class A ordinary shares and Class B ordinary shares. Each Class A ordinary share entitles the holder to exercise one vote, and each Class B ordinary share entitles the holder to exercise 10 votes, respectively, on all matters subject to the vote at general meetings of Baidu,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 Shareholders and prospective investors should be aware of the potential risks of investing in a company with a weighted voting rights structure. Our American depositary shares, each representing eight of our Class A ordinary shares, are listed on Nasdaq in the United States under the symbol BIDU.</w:t>
      </w:r>
    </w:p>
    <w:p>
      <w:pPr>
        <w:spacing w:after="0" w:line="183"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This announcement is for information purposes only and is not an invitation or offer to sell or acquire or the solicitation of an offer to buy securities in the United States or in any other jurisdiction in which such invitation, offer, acquisition, solicitation or sale would be unlawful prior to registration or qualification under the securities laws of any such jurisdiction.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LISTING ON THE STOCK EXCHANGE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HONG KONG LIMITED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CNY4,400,000,000 1.90% SENIOR NOTES DUE 2029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Stock Code: 85063)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160020</wp:posOffset>
            </wp:positionV>
            <wp:extent cx="1825625" cy="565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562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Baidu, Inc.</w:t>
      </w:r>
    </w:p>
    <w:p>
      <w:pPr>
        <w:spacing w:after="0" w:line="37" w:lineRule="exact"/>
        <w:rPr>
          <w:sz w:val="20"/>
          <w:szCs w:val="20"/>
          <w:color w:val="auto"/>
        </w:rPr>
      </w:pPr>
    </w:p>
    <w:p>
      <w:pPr>
        <w:jc w:val="center"/>
        <w:spacing w:after="0" w:line="192" w:lineRule="exact"/>
        <w:rPr>
          <w:sz w:val="20"/>
          <w:szCs w:val="20"/>
          <w:color w:val="auto"/>
        </w:rPr>
      </w:pPr>
      <w:r>
        <w:rPr>
          <w:rFonts w:ascii="PMingLiU" w:cs="PMingLiU" w:eastAsia="PMingLiU" w:hAnsi="PMingLiU"/>
          <w:sz w:val="16"/>
          <w:szCs w:val="16"/>
          <w:color w:val="auto"/>
        </w:rPr>
        <w:t>百度集團股份有限公司</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 incorporated in the Cayman Islands with limited liability)</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Codes: 9888 (HKD counter) and 89888 (RMB counter))</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Application has been made to The Stock Exchange of Hong Kong Limited for the listing of, and permission to deal in, the Notes by way of debt issues to professional investors (as defined in Chapter 37 of the Rules Governing the Listing of Securities on The Stock Exchange of Hong Kong Limited) only, as described in the offering memorandum relating thereto dated September 8, 2025. The listing of and permission to deal in the Notes is expected to become effective on September 16, 2025.</w:t>
      </w:r>
    </w:p>
    <w:p>
      <w:pPr>
        <w:spacing w:after="0" w:line="207"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Baidu, Inc.</w:t>
      </w:r>
    </w:p>
    <w:p>
      <w:pPr>
        <w:spacing w:after="0" w:line="9"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Mr. Robin Yanhong Li</w:t>
      </w:r>
    </w:p>
    <w:p>
      <w:pPr>
        <w:spacing w:after="0" w:line="9"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pacing w:after="0" w:line="9"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i w:val="1"/>
          <w:iCs w:val="1"/>
          <w:color w:val="auto"/>
        </w:rPr>
        <w:t>and 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September 15, 2025</w:t>
      </w:r>
    </w:p>
    <w:p>
      <w:pPr>
        <w:spacing w:after="0" w:line="115" w:lineRule="exact"/>
        <w:rPr>
          <w:sz w:val="20"/>
          <w:szCs w:val="20"/>
          <w:color w:val="auto"/>
        </w:rPr>
      </w:pPr>
    </w:p>
    <w:p>
      <w:pPr>
        <w:ind w:right="820"/>
        <w:spacing w:after="0" w:line="284" w:lineRule="auto"/>
        <w:rPr>
          <w:sz w:val="20"/>
          <w:szCs w:val="20"/>
          <w:color w:val="auto"/>
        </w:rPr>
      </w:pPr>
      <w:r>
        <w:rPr>
          <w:rFonts w:ascii="Times New Roman" w:cs="Times New Roman" w:eastAsia="Times New Roman" w:hAnsi="Times New Roman"/>
          <w:sz w:val="18"/>
          <w:szCs w:val="18"/>
          <w:i w:val="1"/>
          <w:iCs w:val="1"/>
          <w:color w:val="auto"/>
        </w:rPr>
        <w:t>As at the date of this announcement, the board of directors of the Company comprises Mr. Robin Yanhong Li as director, and Mr. James Ding, Mr. Yuanqing Yang, Mr. Jixun Foo, Ms. Sandy Ran Xu and Ms. Xiaodan Liu as independent directors.</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2025-09-15T08:11:13Z</dcterms:created>
  <dcterms:modified xsi:type="dcterms:W3CDTF">2025-09-15T08:11:13Z</dcterms:modified>
</cp:coreProperties>
</file>